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81" w:rsidRPr="00B751EA" w:rsidRDefault="00B751EA">
      <w:pPr>
        <w:pStyle w:val="normal0"/>
        <w:spacing w:before="240"/>
        <w:jc w:val="center"/>
        <w:rPr>
          <w:b/>
          <w:sz w:val="24"/>
        </w:rPr>
      </w:pPr>
      <w:r w:rsidRPr="00B751EA">
        <w:rPr>
          <w:b/>
          <w:sz w:val="24"/>
        </w:rPr>
        <w:t>NNA Hermanos/as con Referentes adul</w:t>
      </w:r>
      <w:r>
        <w:rPr>
          <w:b/>
          <w:sz w:val="24"/>
        </w:rPr>
        <w:t>tos/as privados/as de libertad</w:t>
      </w:r>
    </w:p>
    <w:p w:rsidR="00B751EA" w:rsidRDefault="00B751EA">
      <w:pPr>
        <w:pStyle w:val="normal0"/>
        <w:spacing w:before="240"/>
        <w:rPr>
          <w:b/>
        </w:rPr>
      </w:pPr>
    </w:p>
    <w:p w:rsidR="00B751EA" w:rsidRPr="00B751EA" w:rsidRDefault="00B751EA">
      <w:pPr>
        <w:pStyle w:val="normal0"/>
        <w:spacing w:before="240"/>
        <w:rPr>
          <w:b/>
          <w:sz w:val="24"/>
        </w:rPr>
      </w:pPr>
      <w:r w:rsidRPr="00B751EA">
        <w:rPr>
          <w:b/>
          <w:sz w:val="24"/>
        </w:rPr>
        <w:t>Presentación del la propuesta:</w:t>
      </w:r>
    </w:p>
    <w:p w:rsidR="00B751EA" w:rsidRDefault="00B751EA">
      <w:pPr>
        <w:pStyle w:val="normal0"/>
        <w:spacing w:before="240"/>
        <w:rPr>
          <w:b/>
        </w:rPr>
      </w:pPr>
    </w:p>
    <w:p w:rsidR="00FC4881" w:rsidRDefault="00B751EA" w:rsidP="003D6E24">
      <w:pPr>
        <w:pStyle w:val="normal0"/>
        <w:spacing w:line="360" w:lineRule="auto"/>
        <w:jc w:val="both"/>
      </w:pPr>
      <w:r>
        <w:t xml:space="preserve">La evidencia internacional muestra los múltiples impactos que tiene la privación de la libertad de referentes adultos en la vida de  niños, niñas y </w:t>
      </w:r>
      <w:proofErr w:type="gramStart"/>
      <w:r>
        <w:t>adolescentes(</w:t>
      </w:r>
      <w:proofErr w:type="gramEnd"/>
      <w:r>
        <w:t>NNA)</w:t>
      </w:r>
    </w:p>
    <w:p w:rsidR="003D6E24" w:rsidRDefault="003D6E24" w:rsidP="003D6E24">
      <w:pPr>
        <w:pStyle w:val="normal0"/>
        <w:spacing w:line="360" w:lineRule="auto"/>
        <w:jc w:val="both"/>
      </w:pPr>
    </w:p>
    <w:p w:rsidR="00FC4881" w:rsidRDefault="003D6E24" w:rsidP="003D6E24">
      <w:pPr>
        <w:pStyle w:val="normal0"/>
        <w:spacing w:line="360" w:lineRule="auto"/>
        <w:jc w:val="both"/>
      </w:pPr>
      <w:r>
        <w:t>La OSC Gurises Unidos</w:t>
      </w:r>
      <w:r w:rsidR="00B751EA">
        <w:t xml:space="preserve"> desarrolla acciones a nivel nacional, regional e internacional integrando  la Plataforma NNAPES por la defensa de NNA con referentes adultos privados de libertad</w:t>
      </w:r>
    </w:p>
    <w:p w:rsidR="00FC4881" w:rsidRDefault="00FC4881" w:rsidP="003D6E24">
      <w:pPr>
        <w:pStyle w:val="normal0"/>
        <w:spacing w:line="360" w:lineRule="auto"/>
        <w:jc w:val="both"/>
      </w:pPr>
    </w:p>
    <w:p w:rsidR="00FC4881" w:rsidRDefault="00B751EA" w:rsidP="003D6E24">
      <w:pPr>
        <w:pStyle w:val="normal0"/>
        <w:spacing w:line="360" w:lineRule="auto"/>
        <w:jc w:val="both"/>
      </w:pPr>
      <w:r>
        <w:t>SITUACIÓN PROBLEMA: encarcelamiento de referentes adultas/os de NNA hermanos/as  que no cuentan con otros referentes protectores que garanticen el cumplimiento de sus Derechos</w:t>
      </w:r>
    </w:p>
    <w:p w:rsidR="00FC4881" w:rsidRDefault="00FC4881" w:rsidP="003D6E24">
      <w:pPr>
        <w:pStyle w:val="normal0"/>
        <w:spacing w:line="360" w:lineRule="auto"/>
        <w:jc w:val="both"/>
      </w:pPr>
    </w:p>
    <w:p w:rsidR="00FC4881" w:rsidRDefault="00B751EA" w:rsidP="00B751EA">
      <w:pPr>
        <w:pStyle w:val="normal0"/>
        <w:spacing w:line="360" w:lineRule="auto"/>
        <w:jc w:val="both"/>
      </w:pPr>
      <w:r>
        <w:t xml:space="preserve">RESPUESTA ACTUAL: El sistema de protección contempla la integración de NNA hermanos/as en hogares de INAU en función de su edad cronológica lo que conlleva a la separación y suma al efecto generado por la situación de privación de libertad de uno de sus referentes afectivos, la desestructuración familiar y la institucionalización. </w:t>
      </w:r>
    </w:p>
    <w:p w:rsidR="00FC4881" w:rsidRDefault="00B751EA" w:rsidP="00B751EA">
      <w:pPr>
        <w:pStyle w:val="normal0"/>
        <w:spacing w:line="360" w:lineRule="auto"/>
        <w:jc w:val="both"/>
      </w:pPr>
      <w:r>
        <w:t xml:space="preserve">Actualmente tampoco el Programa Familia amiga que busca que todos los NNA puedan ejercer su DD a vivir en familia,  contempla dar una respuesta diferencial frente a esta situación </w:t>
      </w:r>
      <w:proofErr w:type="spellStart"/>
      <w:r>
        <w:t>especìfica</w:t>
      </w:r>
      <w:proofErr w:type="spellEnd"/>
    </w:p>
    <w:p w:rsidR="00FC4881" w:rsidRDefault="00B751EA" w:rsidP="00B751EA">
      <w:pPr>
        <w:pStyle w:val="normal0"/>
        <w:spacing w:line="360" w:lineRule="auto"/>
        <w:jc w:val="both"/>
      </w:pPr>
      <w:r>
        <w:t xml:space="preserve"> </w:t>
      </w:r>
    </w:p>
    <w:p w:rsidR="00FC4881" w:rsidRDefault="00B751EA" w:rsidP="00B751EA">
      <w:pPr>
        <w:pStyle w:val="normal0"/>
        <w:spacing w:line="360" w:lineRule="auto"/>
        <w:jc w:val="both"/>
      </w:pPr>
      <w:r>
        <w:t>Esta respuesta no estaría alineada a lo establecido en los estándares tanto internacionales como nacionales que contemplan el Interés Superior del NNA y el Derecho a vivir en Familia, lo que exige la responsabilidad de buscar respuestas que garanticen los derechos de los mismos</w:t>
      </w:r>
    </w:p>
    <w:p w:rsidR="00FC4881" w:rsidRDefault="00FC4881" w:rsidP="00B751EA">
      <w:pPr>
        <w:pStyle w:val="normal0"/>
        <w:spacing w:line="360" w:lineRule="auto"/>
        <w:jc w:val="both"/>
      </w:pPr>
    </w:p>
    <w:p w:rsidR="00FC4881" w:rsidRDefault="00B751EA" w:rsidP="00B751EA">
      <w:pPr>
        <w:pStyle w:val="normal0"/>
        <w:spacing w:line="360" w:lineRule="auto"/>
        <w:jc w:val="both"/>
      </w:pPr>
      <w:r>
        <w:t>De los mandatos constitucionales y  normas internacionales concluimos que existen medidas a adoptar por los jueces penales para asegurar la protección de DD de NNA, siendo imprescindible considerar su situación particular cuando se dispone que adultos referentes sean privados de libertad. La privación de libertad es una situación limitada en el tiempo y con un término establecido, lo que debe considerarse a la hora de brindar  la mejor  respuesta para la protección a NNA contemplando el interés superior del niño y el DD a vivir en familia y garantizar la no trascendencia de la pena.</w:t>
      </w:r>
    </w:p>
    <w:p w:rsidR="00FC4881" w:rsidRDefault="00FC4881">
      <w:pPr>
        <w:pStyle w:val="normal0"/>
        <w:spacing w:before="240" w:after="240"/>
        <w:jc w:val="both"/>
      </w:pPr>
    </w:p>
    <w:p w:rsidR="00FC4881" w:rsidRPr="00B751EA" w:rsidRDefault="00B751EA">
      <w:pPr>
        <w:pStyle w:val="normal0"/>
        <w:jc w:val="both"/>
        <w:rPr>
          <w:b/>
          <w:sz w:val="24"/>
        </w:rPr>
      </w:pPr>
      <w:r w:rsidRPr="00B751EA">
        <w:rPr>
          <w:b/>
          <w:sz w:val="24"/>
        </w:rPr>
        <w:t>Desarrollo de la propuesta:</w:t>
      </w:r>
    </w:p>
    <w:p w:rsidR="00B751EA" w:rsidRDefault="00B751EA">
      <w:pPr>
        <w:pStyle w:val="normal0"/>
        <w:jc w:val="both"/>
      </w:pPr>
    </w:p>
    <w:p w:rsidR="00FC4881" w:rsidRDefault="00B751EA" w:rsidP="00B751EA">
      <w:pPr>
        <w:pStyle w:val="normal0"/>
        <w:spacing w:line="360" w:lineRule="auto"/>
        <w:jc w:val="both"/>
      </w:pPr>
      <w:r>
        <w:t>¿Cómo adaptar las respuestas existentes para la protección de NNA hermanos/as contemplando el interés superior y el DD a vivir en familia cuando el único referente de protección es privado de libertad garantizando la no trascendencia de la pena?</w:t>
      </w:r>
    </w:p>
    <w:p w:rsidR="00FC4881" w:rsidRDefault="00B751EA" w:rsidP="00B751EA">
      <w:pPr>
        <w:pStyle w:val="normal0"/>
        <w:spacing w:before="240" w:line="360" w:lineRule="auto"/>
        <w:jc w:val="both"/>
      </w:pPr>
      <w:r>
        <w:t xml:space="preserve">Centrándonos en los NNA y sus Derechos - Interés Superior del NNA y Derecho a la Familia-  así como también en las Recomendaciones realizadas por múltiples Organizaciones y Plataformas, es que identificamos la necesidad de generar un abordaje y dispositivos específicos ya que, al tratarse de una Sentencia Penal hacia su referente adulta/o, este ingreso al sistema de protección sería por determinado tiempo - aspecto a destacar de nuestra propuesta -, identificándose un comienzo y final del período de amparo de dichas/os NNA. </w:t>
      </w:r>
    </w:p>
    <w:p w:rsidR="00FC4881" w:rsidRDefault="00B751EA" w:rsidP="00B751EA">
      <w:pPr>
        <w:pStyle w:val="normal0"/>
        <w:spacing w:before="240" w:line="360" w:lineRule="auto"/>
        <w:jc w:val="both"/>
      </w:pPr>
      <w:r>
        <w:t>A partir de esta situación presentada generamos dos líneas de posibles soluciones;</w:t>
      </w:r>
    </w:p>
    <w:p w:rsidR="00FC4881" w:rsidRDefault="00B751EA" w:rsidP="00B751EA">
      <w:pPr>
        <w:pStyle w:val="normal0"/>
        <w:numPr>
          <w:ilvl w:val="0"/>
          <w:numId w:val="1"/>
        </w:numPr>
        <w:spacing w:before="240" w:line="360" w:lineRule="auto"/>
        <w:jc w:val="both"/>
      </w:pPr>
      <w:r>
        <w:t>en  referencia a la privación de libertad de esa referencia adulta de protección y cuidado para el grupo de NNA.</w:t>
      </w:r>
    </w:p>
    <w:p w:rsidR="00FC4881" w:rsidRDefault="00B751EA" w:rsidP="00B751EA">
      <w:pPr>
        <w:pStyle w:val="normal0"/>
        <w:numPr>
          <w:ilvl w:val="0"/>
          <w:numId w:val="1"/>
        </w:numPr>
        <w:spacing w:line="360" w:lineRule="auto"/>
        <w:jc w:val="both"/>
      </w:pPr>
      <w:r>
        <w:t xml:space="preserve">en referencia a las respuestas brindadas por INAU a la hora de brindar respuesta dentro de su sistema de amparo y protección. </w:t>
      </w:r>
    </w:p>
    <w:p w:rsidR="00FC4881" w:rsidRDefault="00B751EA" w:rsidP="00B751EA">
      <w:pPr>
        <w:pStyle w:val="normal0"/>
        <w:spacing w:before="240" w:line="360" w:lineRule="auto"/>
        <w:jc w:val="both"/>
      </w:pPr>
      <w:r>
        <w:t xml:space="preserve">En las Reglas Mínimas de las Naciones Unidas para el Tratamiento de los Reclusos (Reglas Nelson Mandela), apartado “Relaciones sociales y ayuda </w:t>
      </w:r>
      <w:proofErr w:type="spellStart"/>
      <w:r>
        <w:t>pospenitenciaria</w:t>
      </w:r>
      <w:proofErr w:type="spellEnd"/>
      <w:r>
        <w:t xml:space="preserve">” en la Regla Nº 106 se indica que </w:t>
      </w:r>
      <w:r>
        <w:rPr>
          <w:i/>
        </w:rPr>
        <w:t>“Se velará particularmente por el mantenimiento y mejoramiento de las relaciones entre el recluso y su familia que redunden en beneficio de ambas partes</w:t>
      </w:r>
      <w:r>
        <w:t>”</w:t>
      </w:r>
      <w:r>
        <w:rPr>
          <w:vertAlign w:val="superscript"/>
        </w:rPr>
        <w:footnoteReference w:id="1"/>
      </w:r>
      <w:r>
        <w:t>; sin hacer mención a las formas de dicho relacionamiento ni al abordaje de situaciones como las planteadas en esta propuesta. Esto entendemos que explicita la función de protección y cuidado que cumplen las mujeres en nuestra sociedad, quedando de manifiesto en las recomendaciones antes mencionadas y demostrando la necesidad de un abordaje diferenciado en el tratamiento y en la jurisprudencia necesaria para el mismo.</w:t>
      </w:r>
    </w:p>
    <w:p w:rsidR="00FC4881" w:rsidRDefault="00B751EA" w:rsidP="00B751EA">
      <w:pPr>
        <w:pStyle w:val="normal0"/>
        <w:spacing w:before="240" w:line="360" w:lineRule="auto"/>
        <w:jc w:val="both"/>
      </w:pPr>
      <w:r>
        <w:t xml:space="preserve">Las Reglas de las Naciones Unidas para el tratamiento de las reclusas y medidas no privativas de libertad para las mujeres delincuentes - Reglas de Bangkok -  son normas referentes en la materia en el sistema internacional de los derechos humanos, que si bien no tienen naturaleza convencional tienen una reconocida densidad como normas referentes </w:t>
      </w:r>
      <w:r>
        <w:lastRenderedPageBreak/>
        <w:t xml:space="preserve">para la incorporación de los principios de derechos humanos en los ordenamientos nacionales, señalan la pertinencia de encontrar alternativas a la prisión cuando el interés superior del niño esté en juego. </w:t>
      </w:r>
    </w:p>
    <w:p w:rsidR="00FC4881" w:rsidRDefault="00B751EA" w:rsidP="00B751EA">
      <w:pPr>
        <w:pStyle w:val="normal0"/>
        <w:spacing w:before="240" w:line="360" w:lineRule="auto"/>
        <w:jc w:val="both"/>
        <w:rPr>
          <w:i/>
        </w:rPr>
      </w:pPr>
      <w:r>
        <w:t xml:space="preserve">Allí se manifiesta que las mujeres privadas de libertad y en especial aquellas de mayor vulnerabilidad y  con hijos o personas a su cargo, requieren una particular atención y asistencia eficiente. El documento invita a los  Estados Miembros a que </w:t>
      </w:r>
      <w:r>
        <w:rPr>
          <w:i/>
        </w:rPr>
        <w:t>“tengan en consideración las necesidades y circunstancias  específicas de las mujeres reclusas al elaborar la legislación, los procedimientos, las  políticas y los planes de acción correspondientes, y a que utilicen, según proceda, las  Reglas de Bangkok”</w:t>
      </w:r>
      <w:r>
        <w:rPr>
          <w:i/>
          <w:vertAlign w:val="superscript"/>
        </w:rPr>
        <w:footnoteReference w:id="2"/>
      </w:r>
      <w:r>
        <w:rPr>
          <w:i/>
        </w:rPr>
        <w:t>.</w:t>
      </w:r>
    </w:p>
    <w:p w:rsidR="00FC4881" w:rsidRDefault="00B751EA" w:rsidP="00B751EA">
      <w:pPr>
        <w:pStyle w:val="normal0"/>
        <w:spacing w:before="240" w:line="360" w:lineRule="auto"/>
        <w:jc w:val="both"/>
        <w:rPr>
          <w:i/>
        </w:rPr>
      </w:pPr>
      <w:r>
        <w:t>También resalta que,</w:t>
      </w:r>
      <w:r>
        <w:rPr>
          <w:i/>
        </w:rPr>
        <w:t xml:space="preserve"> “al dictar sentencia o decidir  medidas previas al juicio respecto de una mujer embarazada o de una persona que sea la  fuente primaria o única de cuidados de un niño, se debería dar preferencia a medidas no  privativas de la libertad, de ser posible y apropiado, e imponer condenas que supongan  privación de la libertad cuando se trate de delitos graves o violentos”</w:t>
      </w:r>
      <w:r>
        <w:rPr>
          <w:i/>
          <w:vertAlign w:val="superscript"/>
        </w:rPr>
        <w:footnoteReference w:id="3"/>
      </w:r>
      <w:r>
        <w:rPr>
          <w:i/>
        </w:rPr>
        <w:t>.</w:t>
      </w:r>
    </w:p>
    <w:p w:rsidR="00FC4881" w:rsidRDefault="00B751EA" w:rsidP="00B751EA">
      <w:pPr>
        <w:pStyle w:val="normal0"/>
        <w:spacing w:before="240" w:line="360" w:lineRule="auto"/>
        <w:ind w:left="20"/>
        <w:jc w:val="both"/>
      </w:pPr>
      <w:r>
        <w:t>La Regla N° 57 señala que</w:t>
      </w:r>
      <w:r>
        <w:rPr>
          <w:i/>
        </w:rPr>
        <w:t xml:space="preserve"> “Las disposiciones de las Reglas de Tokio servirán de orientación  para la elaboración y puesta en práctica de respuestas apropiadas ante la delincuencia  femenina. En el marco de los ordenamientos jurídicos de los Estados Miembros, se  deberán elaborar medidas opcionales y alternativas a la prisión preventiva y la condena,  concebidas específicamente para las mujeres delincuentes, teniendo presente el historial  de victimización de muchas de ellas y sus responsabilidades de cuidado de otras  personas</w:t>
      </w:r>
      <w:r>
        <w:t xml:space="preserve">”.  En la misma línea, la Regla N° 59 indica que </w:t>
      </w:r>
      <w:r>
        <w:rPr>
          <w:i/>
        </w:rPr>
        <w:t>“En general, se utilizarán medios de protección  que no supongan privación de la libertad, como albergues administrados por órganos  independientes, organizaciones no gubernamentales u otros servicios comunitarios, para brindar protección a las mujeres que la requieran. Se aplicarán medidas temporales de  privación de la libertad para proteger a una mujer únicamente cuando sea necesario y lo  haya solicitado expresamente la interesada, y en todos los casos bajo la supervisión de las  autoridades judiciales u otras autoridades competentes. Se dejarán de aplicar esas medidas  de protección si se opone a ellas la interesada”</w:t>
      </w:r>
      <w:r>
        <w:t xml:space="preserve">. </w:t>
      </w:r>
    </w:p>
    <w:p w:rsidR="00FC4881" w:rsidRDefault="00B751EA" w:rsidP="00B751EA">
      <w:pPr>
        <w:pStyle w:val="normal0"/>
        <w:spacing w:before="240" w:line="360" w:lineRule="auto"/>
        <w:ind w:left="20"/>
        <w:jc w:val="both"/>
      </w:pPr>
      <w:r>
        <w:lastRenderedPageBreak/>
        <w:t xml:space="preserve">La Regla N° 64 expresa que </w:t>
      </w:r>
      <w:r>
        <w:rPr>
          <w:i/>
        </w:rPr>
        <w:t>“cuando sea posible y apropiado se preferirá imponer sentencias  no privativas de la libertad a las embarazadas y las mujeres que tengan niños a cargo, y  se considerará imponer sentencias privativas de la libertad si el delito es grave o violento  o si la mujer representa un peligro permanente, pero teniendo presente el interés superior  del niño o los niños y asegurando, al mismo tiempo, que se adopten disposiciones  apropiadas para el cuidado de esos niños”</w:t>
      </w:r>
      <w:r>
        <w:rPr>
          <w:i/>
          <w:vertAlign w:val="superscript"/>
        </w:rPr>
        <w:footnoteReference w:id="4"/>
      </w:r>
      <w:r>
        <w:rPr>
          <w:i/>
        </w:rPr>
        <w:t>.</w:t>
      </w:r>
      <w:r>
        <w:t xml:space="preserve"> </w:t>
      </w:r>
    </w:p>
    <w:p w:rsidR="00FC4881" w:rsidRDefault="00B751EA" w:rsidP="00B751EA">
      <w:pPr>
        <w:pStyle w:val="normal0"/>
        <w:spacing w:line="360" w:lineRule="auto"/>
        <w:jc w:val="both"/>
      </w:pPr>
      <w:r>
        <w:t xml:space="preserve"> </w:t>
      </w:r>
    </w:p>
    <w:p w:rsidR="00FC4881" w:rsidRDefault="00B751EA" w:rsidP="00B751EA">
      <w:pPr>
        <w:pStyle w:val="normal0"/>
        <w:spacing w:line="360" w:lineRule="auto"/>
        <w:jc w:val="both"/>
      </w:pPr>
      <w:r>
        <w:t xml:space="preserve">En suma, las Reglas presentadas anteriormente  indican la pertinencia de encontrar alternativas a la prisión cuando el interés superior del niño esté en juego; tal como se desarrolla en </w:t>
      </w:r>
      <w:r>
        <w:rPr>
          <w:i/>
        </w:rPr>
        <w:t>“Informe especial y Recomendación de dispositivos de prisión domiciliaria asistida para madres con hijos menores a su cargo”</w:t>
      </w:r>
      <w:r>
        <w:t xml:space="preserve"> de la Oficina Comisionado Parlamentario. </w:t>
      </w:r>
    </w:p>
    <w:p w:rsidR="00FC4881" w:rsidRDefault="00B751EA" w:rsidP="00B751EA">
      <w:pPr>
        <w:pStyle w:val="normal0"/>
        <w:spacing w:before="360" w:line="360" w:lineRule="auto"/>
        <w:ind w:left="20"/>
        <w:jc w:val="both"/>
      </w:pPr>
      <w:r>
        <w:t xml:space="preserve">En este sentido la Opinión Consultiva 21/14, párrafo 158 de la Corte Interamericana de  Derechos Humanos señala que </w:t>
      </w:r>
      <w:r>
        <w:rPr>
          <w:i/>
        </w:rPr>
        <w:t>“cuando el interés superior de la niña o del niño exige el  mantenimiento de la unidad familiar, el imperativo de no privación de libertad se extiende  a sus progenitores y obliga a las autoridades a optar por medidas alternativas a la  detención para la familia y que a su vez sean adecuadas a las necesidades de las niñas y  los niños”</w:t>
      </w:r>
      <w:r>
        <w:rPr>
          <w:i/>
          <w:vertAlign w:val="superscript"/>
        </w:rPr>
        <w:footnoteReference w:id="5"/>
      </w:r>
      <w:r>
        <w:rPr>
          <w:i/>
        </w:rPr>
        <w:t xml:space="preserve">, </w:t>
      </w:r>
      <w:r>
        <w:t xml:space="preserve">tal como presentamos en nuestra Situación Problema. </w:t>
      </w:r>
    </w:p>
    <w:p w:rsidR="00FC4881" w:rsidRDefault="00B751EA" w:rsidP="00B751EA">
      <w:pPr>
        <w:pStyle w:val="normal0"/>
        <w:spacing w:before="360" w:line="360" w:lineRule="auto"/>
        <w:ind w:left="20"/>
        <w:jc w:val="both"/>
      </w:pPr>
      <w:r>
        <w:t xml:space="preserve">Es oportuno resaltar que según estudios realizados por el Comisionado Parlamentario </w:t>
      </w:r>
      <w:r>
        <w:rPr>
          <w:i/>
        </w:rPr>
        <w:t xml:space="preserve">“Informe especial: prisión domiciliaria asistida para madres con hijos a  su cargo en el proceso penal” </w:t>
      </w:r>
      <w:r>
        <w:t xml:space="preserve"> en los </w:t>
      </w:r>
      <w:proofErr w:type="spellStart"/>
      <w:r>
        <w:t>últimos</w:t>
      </w:r>
      <w:proofErr w:type="spellEnd"/>
      <w:r>
        <w:t xml:space="preserve"> 12 meses (Setiembre 2020 a Setiembre 2021), la </w:t>
      </w:r>
      <w:proofErr w:type="spellStart"/>
      <w:r>
        <w:t>población</w:t>
      </w:r>
      <w:proofErr w:type="spellEnd"/>
      <w:r>
        <w:t xml:space="preserve"> privada de libertad en nuestro país aumentó el 9%, mientras que la </w:t>
      </w:r>
      <w:proofErr w:type="spellStart"/>
      <w:r>
        <w:t>población</w:t>
      </w:r>
      <w:proofErr w:type="spellEnd"/>
      <w:r>
        <w:t xml:space="preserve"> de mujeres privadas de libertad </w:t>
      </w:r>
      <w:proofErr w:type="spellStart"/>
      <w:r>
        <w:t>crecio</w:t>
      </w:r>
      <w:proofErr w:type="spellEnd"/>
      <w:r>
        <w:t xml:space="preserve">́ el 26%. Al mismo tiempo  se observa que los delitos por los que están en prisión  tienen  que ver en su mayoría con el comercio de estupefacientes o con otros delitos donde no  media la violencia física. El perfil no violento de estas personas se confirma con los  diagnósticos </w:t>
      </w:r>
      <w:proofErr w:type="spellStart"/>
      <w:r>
        <w:t>OASys</w:t>
      </w:r>
      <w:proofErr w:type="spellEnd"/>
      <w:r>
        <w:t xml:space="preserve">, en donde se detectan riesgos bajos de daño o de conflictividad. </w:t>
      </w:r>
    </w:p>
    <w:p w:rsidR="00FC4881" w:rsidRDefault="00B751EA" w:rsidP="00B751EA">
      <w:pPr>
        <w:pStyle w:val="normal0"/>
        <w:spacing w:before="360" w:line="360" w:lineRule="auto"/>
        <w:ind w:left="20"/>
        <w:jc w:val="both"/>
      </w:pPr>
      <w:r>
        <w:t xml:space="preserve">Evidentemente, esto conlleva un deber de diseñar, adoptar e  implementar soluciones alternativas a los centros de detención en régimen cerrado a fin  de preservar y mantener el </w:t>
      </w:r>
      <w:r>
        <w:lastRenderedPageBreak/>
        <w:t xml:space="preserve">vínculo familiar y propender a la protección de la familia, sin  imponer un sacrificio desmedido a los derechos de la niña o del niño a través de la  privación de libertad para toda o parte de la familia. </w:t>
      </w:r>
    </w:p>
    <w:p w:rsidR="00FC4881" w:rsidRDefault="00B751EA" w:rsidP="00B751EA">
      <w:pPr>
        <w:pStyle w:val="normal0"/>
        <w:spacing w:before="360" w:line="360" w:lineRule="auto"/>
        <w:ind w:left="20"/>
        <w:jc w:val="both"/>
      </w:pPr>
      <w:r>
        <w:t xml:space="preserve">En relación con lo anteriormente expuesto, AIDEF (Asociación Interamericana de Defensorías  Públicas) recomienda para el caso de mujeres embarazadas, madres lactantes y con niños y/o  niñas a su cargo, agotar todas las posibilidades alternativas a la privación de libertad y  comprobar si las razones presentadas por las autoridades para descartarlas se basan en  motivos fundados y razonables. Es así como entonces instan a la aplicación de medidas alternativas, en  sustitución del ingreso en centro carcelario, sobre  la base del principio del interés superior del niño/a. </w:t>
      </w:r>
    </w:p>
    <w:p w:rsidR="00FC4881" w:rsidRDefault="00B751EA" w:rsidP="00B751EA">
      <w:pPr>
        <w:pStyle w:val="normal0"/>
        <w:spacing w:before="240" w:line="360" w:lineRule="auto"/>
        <w:ind w:left="20"/>
        <w:jc w:val="both"/>
      </w:pPr>
      <w:r>
        <w:t xml:space="preserve">Analizando estos factores es pertinente, tal como amerita la legislación uruguaya, evaluar  la posibilidad de: un aplazamiento de la pena en tanto se atiendan los factores antes  mencionados, la posibilidad de medidas alternativas y  la posibilidad de una prisión  domiciliaria. </w:t>
      </w:r>
    </w:p>
    <w:p w:rsidR="00FC4881" w:rsidRDefault="00B751EA" w:rsidP="00B751EA">
      <w:pPr>
        <w:pStyle w:val="normal0"/>
        <w:spacing w:before="240" w:line="360" w:lineRule="auto"/>
        <w:ind w:left="20"/>
        <w:jc w:val="both"/>
      </w:pPr>
      <w:r>
        <w:t>Cuando la pena “trasciende” a la persona a quien se aplica, su impacto alcanza a personas  allegadas y a su cargo, con efectos negativos de larga duración.</w:t>
      </w:r>
    </w:p>
    <w:p w:rsidR="00FC4881" w:rsidRDefault="00B751EA" w:rsidP="00B751EA">
      <w:pPr>
        <w:pStyle w:val="normal0"/>
        <w:spacing w:before="240" w:line="360" w:lineRule="auto"/>
        <w:ind w:left="20"/>
        <w:jc w:val="both"/>
      </w:pPr>
      <w:r>
        <w:t>El Art. 228 del Código de Proceso Penal señala:</w:t>
      </w:r>
    </w:p>
    <w:p w:rsidR="00FC4881" w:rsidRDefault="00B751EA" w:rsidP="00B751EA">
      <w:pPr>
        <w:pStyle w:val="normal0"/>
        <w:numPr>
          <w:ilvl w:val="0"/>
          <w:numId w:val="2"/>
        </w:numPr>
        <w:spacing w:before="240" w:line="360" w:lineRule="auto"/>
        <w:jc w:val="both"/>
      </w:pPr>
      <w:r>
        <w:t xml:space="preserve">“Art. 228.1:Para decidir acerca de la  imposición o en su caso la sustitución o la cesación de la prisión preventiva, el juez le  asignará especial relevancia a los siguientes elementos de juicio: a) necesidad de atender  circunstancias familiares o especiales del imputado que hicieran evidentemente  perjudicial su internación inmediata en prisión; b) imputadas en estado de gravidez a  partir del quinto mes de embarazo o madres que estén amamantando durante el primer  año de lactancia; c) imputados afectados por una enfermedad que acarree grave riesgo para su vida o salud, extremo que deberá ser acreditado por el informe pericial  correspondiente; d) imputados mayores de setenta años cuando ello no involucre riesgos  considerando las circunstancias del delito cometido. </w:t>
      </w:r>
    </w:p>
    <w:p w:rsidR="00FC4881" w:rsidRDefault="00B751EA" w:rsidP="00B751EA">
      <w:pPr>
        <w:pStyle w:val="normal0"/>
        <w:numPr>
          <w:ilvl w:val="0"/>
          <w:numId w:val="2"/>
        </w:numPr>
        <w:spacing w:line="360" w:lineRule="auto"/>
        <w:jc w:val="both"/>
      </w:pPr>
      <w:r>
        <w:t>228.2: El juez ordenará la internación  provisional del imputado en un establecimiento asistencial adecuado cuando se acredite  por informe pericial que sufre una grave alteración de sus facultades mentales que acarree  grave riesgo para su vida o salud”</w:t>
      </w:r>
      <w:r>
        <w:rPr>
          <w:vertAlign w:val="superscript"/>
        </w:rPr>
        <w:footnoteReference w:id="6"/>
      </w:r>
      <w:r>
        <w:t>.</w:t>
      </w:r>
    </w:p>
    <w:p w:rsidR="00FC4881" w:rsidRDefault="00B751EA" w:rsidP="00B751EA">
      <w:pPr>
        <w:pStyle w:val="normal0"/>
        <w:spacing w:before="240" w:line="360" w:lineRule="auto"/>
        <w:ind w:left="20"/>
        <w:jc w:val="both"/>
      </w:pPr>
      <w:r>
        <w:lastRenderedPageBreak/>
        <w:t xml:space="preserve">La prisión domiciliaria y penas sustitutivas también </w:t>
      </w:r>
      <w:proofErr w:type="gramStart"/>
      <w:r>
        <w:t xml:space="preserve">son aplicable en la etapa de ejecución de la pena por remisión expresa de los Art. 304 y 305 </w:t>
      </w:r>
      <w:proofErr w:type="gramEnd"/>
      <w:r>
        <w:t xml:space="preserve"> Código Procesal Penal.</w:t>
      </w:r>
    </w:p>
    <w:p w:rsidR="00FC4881" w:rsidRDefault="00B751EA" w:rsidP="00B751EA">
      <w:pPr>
        <w:pStyle w:val="normal0"/>
        <w:spacing w:before="240" w:line="360" w:lineRule="auto"/>
        <w:ind w:left="20"/>
        <w:jc w:val="both"/>
      </w:pPr>
      <w:r>
        <w:t xml:space="preserve">En consonancia con la presentación de nuestra propuesta, y acercándonos a los marcos internacionales de Derecho, consagrado por la Convención Internacional de los Derechos de los Niños, hacemos referencia al mandato  de cuidar “el interés superior del niño”, el cual como dijimos anteriormente  también debe ser tenido presente a la hora de la  ejecución penal cuando hay procesos o penas que los afectan.  </w:t>
      </w:r>
    </w:p>
    <w:p w:rsidR="00FC4881" w:rsidRDefault="00B751EA" w:rsidP="00B751EA">
      <w:pPr>
        <w:pStyle w:val="normal0"/>
        <w:spacing w:before="240" w:line="360" w:lineRule="auto"/>
        <w:ind w:left="20"/>
        <w:jc w:val="both"/>
      </w:pPr>
      <w:r>
        <w:t xml:space="preserve">Esto implica que en los casos de condenas a sus referentes significativos,  es necesario analizar el impacto que esta condena pueda tener en estos sujetos de derecho que serán indirectamente afectados y si esta condena impacta afectando su interés  superior debería ser tenido en cuenta a los efectos de modificar, corregir o subsanar este  impacto negativo. </w:t>
      </w:r>
    </w:p>
    <w:p w:rsidR="00FC4881" w:rsidRDefault="00B751EA" w:rsidP="00B751EA">
      <w:pPr>
        <w:pStyle w:val="normal0"/>
        <w:spacing w:before="240" w:line="360" w:lineRule="auto"/>
        <w:ind w:left="20"/>
        <w:jc w:val="both"/>
      </w:pPr>
      <w:r>
        <w:t>Apoyándonos en lo propuesto por el Comisionado Parlamentario; “</w:t>
      </w:r>
      <w:r>
        <w:rPr>
          <w:i/>
        </w:rPr>
        <w:t>este interés superior es un concepto que exige revisión permanente e individual y en el  caso de referente significativo con condena de prisión debería ser evaluado teniendo en  cuenta al menos tres opciones: a) la posibilidad de sustituir la privación de libertad por  otra medida en función del interés superior del niño; b) la opción de fomentar e impulsar  el desarrollo de medidas alternativas que permitan un adecuado cumplimiento de la pena  y un acompañamiento de ese grupo familiar; c) la opción de permanecer con sus hijos en  instituciones adecuadas para su desarrollo y de promover el contacto familiar en caso de  que no esté especialmente contraindicado. Estas tres opciones deberían tenerse en cuenta  en cada caso que un referente significativo sea condenado acentuando la aplicación  rigurosa de los criterios de razonabilidad, necesidad y proporcionalidad de la pena</w:t>
      </w:r>
      <w:r>
        <w:t>”</w:t>
      </w:r>
      <w:r>
        <w:rPr>
          <w:vertAlign w:val="superscript"/>
        </w:rPr>
        <w:footnoteReference w:id="7"/>
      </w:r>
      <w:r>
        <w:t xml:space="preserve">. </w:t>
      </w:r>
    </w:p>
    <w:p w:rsidR="00FC4881" w:rsidRDefault="00B751EA" w:rsidP="00B751EA">
      <w:pPr>
        <w:pStyle w:val="normal0"/>
        <w:spacing w:before="240" w:line="360" w:lineRule="auto"/>
        <w:ind w:left="20"/>
        <w:jc w:val="both"/>
      </w:pPr>
      <w:r>
        <w:t>También desde la perspectiva del interés superior del niño, la Asamblea General de las  Naciones Unidas dispuso en 2010 las “Directrices sobre las modalidades alternativas de  cuidados de los niños” en su artículo 48: “Cuando el único o principal cuidador del niño  pueda quedar privado de libertad a causa de su ingreso en prisión preventiva o de su  condena a una pena de prisión, deberán dictarse en tales casos, siempre que sea posible y  teniendo en cuenta el interés superior del niño, medidas de libertad provisional y penas  no privativas de libertad”</w:t>
      </w:r>
      <w:r>
        <w:rPr>
          <w:vertAlign w:val="superscript"/>
        </w:rPr>
        <w:footnoteReference w:id="8"/>
      </w:r>
      <w:r>
        <w:t xml:space="preserve">. </w:t>
      </w:r>
    </w:p>
    <w:p w:rsidR="00FC4881" w:rsidRDefault="00B751EA" w:rsidP="00B751EA">
      <w:pPr>
        <w:pStyle w:val="normal0"/>
        <w:spacing w:before="240" w:line="360" w:lineRule="auto"/>
        <w:ind w:left="20"/>
        <w:jc w:val="both"/>
      </w:pPr>
      <w:r>
        <w:lastRenderedPageBreak/>
        <w:t xml:space="preserve">El derecho a la familia, sea la que sea la naturaleza y características de la misma, pero  siempre identificable como el ámbito de crianza, afecto y socialización esencial para el  desarrollo de las capacidades humanas, es reconocido por diversas normas, entendiéndose  como aceptable la separación del niño de ese ámbito natural de protección y crecimiento  cuando existen factores insuperables que hacen inviable el mantenimiento de esa  convivencia de manera temporal o total.  </w:t>
      </w:r>
    </w:p>
    <w:p w:rsidR="00FC4881" w:rsidRDefault="00B751EA" w:rsidP="00B751EA">
      <w:pPr>
        <w:pStyle w:val="normal0"/>
        <w:spacing w:before="520" w:line="360" w:lineRule="auto"/>
        <w:jc w:val="both"/>
      </w:pPr>
      <w:r>
        <w:t xml:space="preserve">La importancia de cuidar ese derecho del niño y niña a realizar el máximo esfuerzo  posible para cuidar sus vínculos familiares y mantenerlos salvo existan fundados motivos  que lo desaconsejen o impidan, está recogido en la jurisprudencia del Comité de los  Derechos del Niño de Naciones Unidas. La Observación General N° 5 del Comité de Derechos del Niño de Naciones Unidas  convoca a los Estados a tener una atención permanente sobre las decisiones que pueden  afectar a los niños o niñas, incluyendo las decisiones judiciales y la legislación: </w:t>
      </w:r>
      <w:r>
        <w:rPr>
          <w:i/>
        </w:rPr>
        <w:t>“Todos  los órganos o instituciones legislativas, administrativas y judiciales han de aplicar el  principio de interés superior del niño estudiando sistemáticamente cómo los derechos y  los intereses del niño se ven afectados o se verán afectados por las decisiones y las  medidas que adopten</w:t>
      </w:r>
      <w:r>
        <w:t>”</w:t>
      </w:r>
      <w:r>
        <w:rPr>
          <w:vertAlign w:val="superscript"/>
        </w:rPr>
        <w:footnoteReference w:id="9"/>
      </w:r>
    </w:p>
    <w:p w:rsidR="00FC4881" w:rsidRDefault="00B751EA" w:rsidP="00B751EA">
      <w:pPr>
        <w:pStyle w:val="normal0"/>
        <w:spacing w:line="360" w:lineRule="auto"/>
        <w:jc w:val="both"/>
      </w:pPr>
      <w:r>
        <w:t xml:space="preserve"> </w:t>
      </w:r>
    </w:p>
    <w:p w:rsidR="00FC4881" w:rsidRDefault="00B751EA" w:rsidP="00B751EA">
      <w:pPr>
        <w:pStyle w:val="normal0"/>
        <w:spacing w:line="360" w:lineRule="auto"/>
        <w:jc w:val="both"/>
      </w:pPr>
      <w:r>
        <w:t>Al mismo tiempo, y agotados los recursos para evitar la privación de libertad de esa referencia adulta para grupo de hermanos/as, es que nos centramos en nuestra segunda sugerencia; la no separación de dicho núcleo de NNA.</w:t>
      </w:r>
    </w:p>
    <w:p w:rsidR="00FC4881" w:rsidRDefault="00B751EA" w:rsidP="00B751EA">
      <w:pPr>
        <w:pStyle w:val="normal0"/>
        <w:spacing w:line="360" w:lineRule="auto"/>
        <w:jc w:val="both"/>
      </w:pPr>
      <w:r>
        <w:t xml:space="preserve"> </w:t>
      </w:r>
    </w:p>
    <w:p w:rsidR="00FC4881" w:rsidRDefault="00B751EA" w:rsidP="00B751EA">
      <w:pPr>
        <w:pStyle w:val="normal0"/>
        <w:spacing w:before="240" w:line="360" w:lineRule="auto"/>
        <w:jc w:val="both"/>
      </w:pPr>
      <w:r>
        <w:t xml:space="preserve">El Comité de los Derechos del Niño de las Naciones Unidas al interpretar lo establecido en la Convención de Derechos del Niño, destaca la relevancia especial del derecho de los niños a ser oídos. Expresa que este derecho forma parte de uno de los cuatro principios generales del Convenio, junto al derecho a la no discriminación, a la vida y al desarrollo y a la consideración primordial del interés superior del niño. Asimismo, resalta que la observancia del derecho a ser oído no es discrecional sino que constituye una obligación jurídica de los Estados, que deben garantizar su observancia sistemática en los procesos judiciales (Comité de los Derechos del Niño, Observación General n° 12, 20/07/09; </w:t>
      </w:r>
      <w:proofErr w:type="spellStart"/>
      <w:r>
        <w:t>párrs</w:t>
      </w:r>
      <w:proofErr w:type="spellEnd"/>
      <w:r>
        <w:t xml:space="preserve">. 2, 15 y 49)”.  </w:t>
      </w:r>
    </w:p>
    <w:p w:rsidR="00FC4881" w:rsidRDefault="00B751EA" w:rsidP="00B751EA">
      <w:pPr>
        <w:pStyle w:val="normal0"/>
        <w:spacing w:before="240" w:line="360" w:lineRule="auto"/>
        <w:jc w:val="both"/>
      </w:pPr>
      <w:r>
        <w:lastRenderedPageBreak/>
        <w:t xml:space="preserve">El 21 de abril del 2021, se llevó a cabo la Audiencia Pública convocada por la Corte Interamericana de Derechos Humanos sobre Enfoques diferenciados en materia de privación de libertad. Durante la misma, por primera vez en la historia de la Corte, participaron adolescentes en una Audiencia pública.  Allí los/as propios/as adolescentes - y en representación de Niños y Niñas - dieron su voz en la Audiencia Pública de la Corte Interamericana, poniendo de manifiesto los impactos y vulneraciones a los que se ven expuestos los Niños Niñas y Adolescentes con referente adultos privados de libertad. </w:t>
      </w:r>
    </w:p>
    <w:p w:rsidR="00FC4881" w:rsidRDefault="00B751EA" w:rsidP="00B751EA">
      <w:pPr>
        <w:pStyle w:val="normal0"/>
        <w:spacing w:before="240" w:line="360" w:lineRule="auto"/>
        <w:jc w:val="both"/>
      </w:pPr>
      <w:r>
        <w:t>La Convención sobre los Derechos del Niño y a nivel Nacional el Código de la Niñez y Adolescencia incorporan dos principios centrales para considerar cualquier situación que involucra a los niños, niñas y adolescentes recogidos en los artículos 3 y 12 de la Convención que imponen una lectura conjunta y articulada del texto y son</w:t>
      </w:r>
      <w:proofErr w:type="gramStart"/>
      <w:r>
        <w:t>:  el</w:t>
      </w:r>
      <w:proofErr w:type="gramEnd"/>
      <w:r>
        <w:t xml:space="preserve"> sustento de la consideración del niño como sujeto de derechos y su interés superior como principio rector: “</w:t>
      </w:r>
    </w:p>
    <w:p w:rsidR="00FC4881" w:rsidRDefault="00B751EA" w:rsidP="00B751EA">
      <w:pPr>
        <w:pStyle w:val="normal0"/>
        <w:spacing w:before="240" w:line="360" w:lineRule="auto"/>
        <w:jc w:val="both"/>
      </w:pPr>
      <w:r>
        <w:t>Además, el Art. 3.1 establece que:</w:t>
      </w:r>
      <w:r>
        <w:rPr>
          <w:i/>
        </w:rPr>
        <w:t xml:space="preserv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Pr>
          <w:vertAlign w:val="superscript"/>
        </w:rPr>
        <w:footnoteReference w:id="10"/>
      </w:r>
      <w:r>
        <w:t>.</w:t>
      </w:r>
    </w:p>
    <w:p w:rsidR="00FC4881" w:rsidRDefault="00B751EA" w:rsidP="00B751EA">
      <w:pPr>
        <w:pStyle w:val="normal0"/>
        <w:spacing w:before="240" w:line="360" w:lineRule="auto"/>
        <w:jc w:val="both"/>
      </w:pPr>
      <w:r>
        <w:t xml:space="preserve">El Art. 12.1 propone que </w:t>
      </w:r>
      <w:r>
        <w:rPr>
          <w:i/>
        </w:rPr>
        <w:t>“los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r>
        <w:rPr>
          <w:i/>
          <w:vertAlign w:val="superscript"/>
        </w:rPr>
        <w:footnoteReference w:id="11"/>
      </w:r>
      <w:r>
        <w:t>. Si bien esto lo hemos manifestado atendiendo a la necesidad de generar medidas alternativas; también hacemos referencia en este punto ya que entendemos que dicho interés superior debe ser tenido en cuenta a la hora de generar propuestas de convivencia dentro del sistema de protección de INAU.</w:t>
      </w:r>
    </w:p>
    <w:p w:rsidR="00FC4881" w:rsidRDefault="00B751EA" w:rsidP="00B751EA">
      <w:pPr>
        <w:pStyle w:val="normal0"/>
        <w:spacing w:before="240" w:line="360" w:lineRule="auto"/>
        <w:jc w:val="both"/>
      </w:pPr>
      <w:r>
        <w:t>El interés superior conduce a los Estados a tener que imponerse un marco general de obligaciones para que efectivamente se convierta en una consideración primordial en toda decisión que concierne a un niño, un grupo de niños hermanos/as y atender a su no separación como consecuencia del encarcelamiento de su único/a referente adulto/a. Junto a la determinación del interés superior, los Estados también deben escuchar qué tienen para decir el o los niños, niñas y adolescentes.</w:t>
      </w:r>
    </w:p>
    <w:p w:rsidR="00FC4881" w:rsidRDefault="00B751EA" w:rsidP="00B751EA">
      <w:pPr>
        <w:pStyle w:val="normal0"/>
        <w:spacing w:before="240" w:line="360" w:lineRule="auto"/>
        <w:jc w:val="both"/>
      </w:pPr>
      <w:r>
        <w:lastRenderedPageBreak/>
        <w:t xml:space="preserve">Otra de las recomendaciones se vincula a la situación de la institucionalización del grupo de NNA cuya referencia de protección y cuidado ha sido encarcelada. </w:t>
      </w:r>
    </w:p>
    <w:p w:rsidR="00FC4881" w:rsidRDefault="00B751EA" w:rsidP="00B751EA">
      <w:pPr>
        <w:pStyle w:val="normal0"/>
        <w:spacing w:before="240" w:line="360" w:lineRule="auto"/>
        <w:jc w:val="both"/>
      </w:pPr>
      <w:r>
        <w:t xml:space="preserve">Actualmente el sistema de protección contempla la integración de NNA hermanos/as en hogares de INAU en función de su edad cronológica lo que conlleva a la separación y suma al efecto generado por la situación de privación de libertad de uno de sus referentes afectivos, la desestructuración familiar y la institucionalización. </w:t>
      </w:r>
    </w:p>
    <w:p w:rsidR="00FC4881" w:rsidRDefault="00B751EA" w:rsidP="00B751EA">
      <w:pPr>
        <w:pStyle w:val="normal0"/>
        <w:spacing w:line="360" w:lineRule="auto"/>
        <w:jc w:val="both"/>
      </w:pPr>
      <w:r>
        <w:t xml:space="preserve">Actualmente tampoco el Programa Familia Amiga que busca que todos los NNA puedan ejercer su DD a vivir en familia,  contempla dar una respuesta diferencial frente a esta situación </w:t>
      </w:r>
      <w:proofErr w:type="spellStart"/>
      <w:r>
        <w:t>especìfica</w:t>
      </w:r>
      <w:proofErr w:type="spellEnd"/>
      <w:r>
        <w:t xml:space="preserve">, ya que si el grupo de NNA es numeroso y de diferentes franjas </w:t>
      </w:r>
      <w:proofErr w:type="spellStart"/>
      <w:r>
        <w:t>etareas</w:t>
      </w:r>
      <w:proofErr w:type="spellEnd"/>
      <w:r>
        <w:t xml:space="preserve">, generalmente no se cuentan con Familias que los  reciban. </w:t>
      </w:r>
    </w:p>
    <w:p w:rsidR="00FC4881" w:rsidRDefault="00B751EA" w:rsidP="00B751EA">
      <w:pPr>
        <w:pStyle w:val="normal0"/>
        <w:spacing w:line="360" w:lineRule="auto"/>
        <w:jc w:val="both"/>
      </w:pPr>
      <w:r>
        <w:t xml:space="preserve"> </w:t>
      </w:r>
    </w:p>
    <w:p w:rsidR="00FC4881" w:rsidRDefault="00B751EA" w:rsidP="00B751EA">
      <w:pPr>
        <w:pStyle w:val="normal0"/>
        <w:spacing w:line="360" w:lineRule="auto"/>
        <w:jc w:val="both"/>
      </w:pPr>
      <w:r>
        <w:t xml:space="preserve">Esta respuesta actual no estaría alineada a lo establecido en los estándares tanto internacionales como nacionales que contemplan el Interés Superior del NNA y el Derecho a vivir en Familia, lo que exige la responsabilidad de buscar respuestas que garanticen los derechos de los mismos. A lo que proponemos la generación de nuevas propuestas que atiendan dicha situación así como la adecuación  del Programa “Familia Amiga” a dichas situaciones  para contar con familias de acogida que brinden atención a NNA durante el  periodo de tiempo específico, acorde a la Pena de la referencia adulta de cuidado y protección de dicho grupo de hermanos/as. </w:t>
      </w:r>
    </w:p>
    <w:p w:rsidR="00B751EA" w:rsidRDefault="00B751EA" w:rsidP="00B751EA">
      <w:pPr>
        <w:pStyle w:val="normal0"/>
        <w:spacing w:line="360" w:lineRule="auto"/>
        <w:jc w:val="both"/>
      </w:pPr>
    </w:p>
    <w:p w:rsidR="00B751EA" w:rsidRDefault="00B751EA" w:rsidP="00B751EA">
      <w:pPr>
        <w:pStyle w:val="normal0"/>
        <w:spacing w:line="360" w:lineRule="auto"/>
        <w:jc w:val="both"/>
      </w:pPr>
    </w:p>
    <w:p w:rsidR="00B751EA" w:rsidRDefault="00B751EA" w:rsidP="00B751EA">
      <w:pPr>
        <w:pStyle w:val="normal0"/>
        <w:spacing w:line="360" w:lineRule="auto"/>
        <w:jc w:val="both"/>
      </w:pPr>
    </w:p>
    <w:p w:rsidR="00B751EA" w:rsidRPr="00B751EA" w:rsidRDefault="00B751EA" w:rsidP="00B751EA">
      <w:pPr>
        <w:pStyle w:val="normal0"/>
        <w:spacing w:line="360" w:lineRule="auto"/>
        <w:jc w:val="right"/>
        <w:rPr>
          <w:b/>
        </w:rPr>
      </w:pPr>
      <w:r w:rsidRPr="00B751EA">
        <w:rPr>
          <w:b/>
        </w:rPr>
        <w:t>Equipo de Trabajo:</w:t>
      </w:r>
    </w:p>
    <w:p w:rsidR="00B751EA" w:rsidRDefault="00B751EA" w:rsidP="00B751EA">
      <w:pPr>
        <w:pStyle w:val="normal0"/>
        <w:spacing w:line="360" w:lineRule="auto"/>
        <w:jc w:val="right"/>
      </w:pPr>
      <w:r>
        <w:t xml:space="preserve">Rodríguez, Ramiro </w:t>
      </w:r>
    </w:p>
    <w:p w:rsidR="00B751EA" w:rsidRDefault="00B751EA" w:rsidP="00B751EA">
      <w:pPr>
        <w:pStyle w:val="normal0"/>
        <w:spacing w:line="360" w:lineRule="auto"/>
        <w:jc w:val="right"/>
      </w:pPr>
      <w:r>
        <w:t>Silveira, Mariana</w:t>
      </w:r>
    </w:p>
    <w:p w:rsidR="00B751EA" w:rsidRDefault="00B751EA" w:rsidP="00B751EA">
      <w:pPr>
        <w:pStyle w:val="normal0"/>
        <w:spacing w:line="360" w:lineRule="auto"/>
        <w:jc w:val="right"/>
      </w:pPr>
      <w:r>
        <w:t xml:space="preserve">García, Santiago </w:t>
      </w:r>
    </w:p>
    <w:p w:rsidR="00B751EA" w:rsidRDefault="00B751EA" w:rsidP="00B751EA">
      <w:pPr>
        <w:pStyle w:val="normal0"/>
        <w:spacing w:line="360" w:lineRule="auto"/>
        <w:jc w:val="right"/>
      </w:pPr>
    </w:p>
    <w:p w:rsidR="00FC4881" w:rsidRDefault="00FC4881" w:rsidP="00B751EA">
      <w:pPr>
        <w:pStyle w:val="normal0"/>
        <w:spacing w:line="360" w:lineRule="auto"/>
        <w:jc w:val="right"/>
      </w:pPr>
    </w:p>
    <w:p w:rsidR="00FC4881" w:rsidRDefault="00FC4881" w:rsidP="00B751EA">
      <w:pPr>
        <w:pStyle w:val="normal0"/>
        <w:spacing w:line="360" w:lineRule="auto"/>
        <w:jc w:val="right"/>
      </w:pPr>
    </w:p>
    <w:p w:rsidR="00FC4881" w:rsidRDefault="00FC4881" w:rsidP="00B751EA">
      <w:pPr>
        <w:pStyle w:val="normal0"/>
        <w:spacing w:before="240" w:line="360" w:lineRule="auto"/>
        <w:jc w:val="right"/>
      </w:pPr>
    </w:p>
    <w:p w:rsidR="00FC4881" w:rsidRDefault="00FC4881">
      <w:pPr>
        <w:pStyle w:val="normal0"/>
        <w:jc w:val="both"/>
        <w:rPr>
          <w:rFonts w:ascii="Times New Roman" w:eastAsia="Times New Roman" w:hAnsi="Times New Roman" w:cs="Times New Roman"/>
          <w:sz w:val="24"/>
          <w:szCs w:val="24"/>
        </w:rPr>
      </w:pPr>
    </w:p>
    <w:sectPr w:rsidR="00FC4881" w:rsidSect="00FC4881">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60" w:rsidRDefault="00746260" w:rsidP="00FC4881">
      <w:pPr>
        <w:spacing w:line="240" w:lineRule="auto"/>
      </w:pPr>
      <w:r>
        <w:separator/>
      </w:r>
    </w:p>
  </w:endnote>
  <w:endnote w:type="continuationSeparator" w:id="0">
    <w:p w:rsidR="00746260" w:rsidRDefault="00746260" w:rsidP="00FC48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60" w:rsidRDefault="00746260" w:rsidP="00FC4881">
      <w:pPr>
        <w:spacing w:line="240" w:lineRule="auto"/>
      </w:pPr>
      <w:r>
        <w:separator/>
      </w:r>
    </w:p>
  </w:footnote>
  <w:footnote w:type="continuationSeparator" w:id="0">
    <w:p w:rsidR="00746260" w:rsidRDefault="00746260" w:rsidP="00FC4881">
      <w:pPr>
        <w:spacing w:line="240" w:lineRule="auto"/>
      </w:pPr>
      <w:r>
        <w:continuationSeparator/>
      </w:r>
    </w:p>
  </w:footnote>
  <w:footnote w:id="1">
    <w:p w:rsidR="00FC4881" w:rsidRDefault="00B751EA">
      <w:pPr>
        <w:pStyle w:val="normal0"/>
        <w:spacing w:line="240" w:lineRule="auto"/>
        <w:rPr>
          <w:sz w:val="20"/>
          <w:szCs w:val="20"/>
        </w:rPr>
      </w:pPr>
      <w:r>
        <w:rPr>
          <w:vertAlign w:val="superscript"/>
        </w:rPr>
        <w:footnoteRef/>
      </w:r>
      <w:r>
        <w:rPr>
          <w:sz w:val="20"/>
          <w:szCs w:val="20"/>
        </w:rPr>
        <w:t xml:space="preserve"> Naciones Unidas (s/f). </w:t>
      </w:r>
      <w:r>
        <w:rPr>
          <w:i/>
          <w:sz w:val="20"/>
          <w:szCs w:val="20"/>
        </w:rPr>
        <w:t xml:space="preserve">Reglas mínimas de las Naciones Unidas para el tratamiento de los reclusos (Reglas Nelson Mandela). </w:t>
      </w:r>
      <w:r>
        <w:rPr>
          <w:sz w:val="20"/>
          <w:szCs w:val="20"/>
        </w:rPr>
        <w:t>Recuperado de https://parlamento.gub.uy/sites/default/files/DocumentosCPP/Reglas%20Nelson%20Mandela.pdf</w:t>
      </w:r>
    </w:p>
  </w:footnote>
  <w:footnote w:id="2">
    <w:p w:rsidR="00FC4881" w:rsidRDefault="00B751EA">
      <w:pPr>
        <w:pStyle w:val="normal0"/>
        <w:spacing w:line="240" w:lineRule="auto"/>
        <w:rPr>
          <w:sz w:val="20"/>
          <w:szCs w:val="20"/>
        </w:rPr>
      </w:pPr>
      <w:r>
        <w:rPr>
          <w:vertAlign w:val="superscript"/>
        </w:rPr>
        <w:footnoteRef/>
      </w:r>
      <w:r>
        <w:rPr>
          <w:sz w:val="20"/>
          <w:szCs w:val="20"/>
        </w:rPr>
        <w:t xml:space="preserve"> Naciones Unidas (s/f). </w:t>
      </w:r>
      <w:r>
        <w:rPr>
          <w:i/>
          <w:sz w:val="20"/>
          <w:szCs w:val="20"/>
        </w:rPr>
        <w:t xml:space="preserve">Reglas de las Naciones Unidas para el tratamiento de las reclusas y medidas no privativas de la libertad para las mujeres delincuentes (Reglas de Bangkok). </w:t>
      </w:r>
      <w:r>
        <w:rPr>
          <w:sz w:val="20"/>
          <w:szCs w:val="20"/>
        </w:rPr>
        <w:t>Recuperado de https://www.ohchr.org/sp/professionalinterest/pages/bangkokrules.aspx</w:t>
      </w:r>
    </w:p>
    <w:p w:rsidR="00FC4881" w:rsidRDefault="00FC4881">
      <w:pPr>
        <w:pStyle w:val="normal0"/>
        <w:spacing w:line="240" w:lineRule="auto"/>
        <w:rPr>
          <w:sz w:val="20"/>
          <w:szCs w:val="20"/>
        </w:rPr>
      </w:pPr>
    </w:p>
  </w:footnote>
  <w:footnote w:id="3">
    <w:p w:rsidR="00FC4881" w:rsidRDefault="00B751EA">
      <w:pPr>
        <w:pStyle w:val="normal0"/>
        <w:spacing w:line="240" w:lineRule="auto"/>
        <w:rPr>
          <w:sz w:val="20"/>
          <w:szCs w:val="20"/>
        </w:rPr>
      </w:pPr>
      <w:r>
        <w:rPr>
          <w:vertAlign w:val="superscript"/>
        </w:rPr>
        <w:footnoteRef/>
      </w:r>
      <w:r>
        <w:rPr>
          <w:sz w:val="20"/>
          <w:szCs w:val="20"/>
        </w:rPr>
        <w:t xml:space="preserve"> Naciones Unidas (s/f). </w:t>
      </w:r>
      <w:r>
        <w:rPr>
          <w:i/>
          <w:sz w:val="20"/>
          <w:szCs w:val="20"/>
        </w:rPr>
        <w:t xml:space="preserve">Reglas de las Naciones Unidas para el tratamiento de las reclusas y medidas no privativas de la libertad para las mujeres delincuentes (Reglas de Bangkok). </w:t>
      </w:r>
      <w:r>
        <w:rPr>
          <w:sz w:val="20"/>
          <w:szCs w:val="20"/>
        </w:rPr>
        <w:t>Recuperado de https://www.ohchr.org/sp/professionalinterest/pages/bangkokrules.aspx</w:t>
      </w:r>
    </w:p>
    <w:p w:rsidR="00FC4881" w:rsidRDefault="00FC4881">
      <w:pPr>
        <w:pStyle w:val="normal0"/>
        <w:spacing w:line="240" w:lineRule="auto"/>
        <w:rPr>
          <w:sz w:val="20"/>
          <w:szCs w:val="20"/>
        </w:rPr>
      </w:pPr>
    </w:p>
  </w:footnote>
  <w:footnote w:id="4">
    <w:p w:rsidR="00FC4881" w:rsidRDefault="00B751EA">
      <w:pPr>
        <w:pStyle w:val="normal0"/>
        <w:spacing w:line="240" w:lineRule="auto"/>
        <w:rPr>
          <w:sz w:val="20"/>
          <w:szCs w:val="20"/>
        </w:rPr>
      </w:pPr>
      <w:r>
        <w:rPr>
          <w:vertAlign w:val="superscript"/>
        </w:rPr>
        <w:footnoteRef/>
      </w:r>
      <w:r>
        <w:rPr>
          <w:sz w:val="20"/>
          <w:szCs w:val="20"/>
        </w:rPr>
        <w:t xml:space="preserve">Naciones Unidas (s/f). </w:t>
      </w:r>
      <w:r>
        <w:rPr>
          <w:i/>
          <w:sz w:val="20"/>
          <w:szCs w:val="20"/>
        </w:rPr>
        <w:t xml:space="preserve">Reglas de las Naciones Unidas para el tratamiento de las reclusas y medidas no privativas de la libertad para las mujeres delincuentes (Reglas de Bangkok). </w:t>
      </w:r>
      <w:r>
        <w:rPr>
          <w:sz w:val="20"/>
          <w:szCs w:val="20"/>
        </w:rPr>
        <w:t>Recuperado de https://www.ohchr.org/sp/professionalinterest/pages/bangkokrules.aspx</w:t>
      </w:r>
    </w:p>
    <w:p w:rsidR="00FC4881" w:rsidRDefault="00FC4881">
      <w:pPr>
        <w:pStyle w:val="normal0"/>
        <w:spacing w:line="240" w:lineRule="auto"/>
        <w:rPr>
          <w:sz w:val="20"/>
          <w:szCs w:val="20"/>
        </w:rPr>
      </w:pPr>
    </w:p>
  </w:footnote>
  <w:footnote w:id="5">
    <w:p w:rsidR="00FC4881" w:rsidRDefault="00B751EA">
      <w:pPr>
        <w:pStyle w:val="normal0"/>
        <w:spacing w:line="240" w:lineRule="auto"/>
        <w:rPr>
          <w:sz w:val="20"/>
          <w:szCs w:val="20"/>
        </w:rPr>
      </w:pPr>
      <w:r>
        <w:rPr>
          <w:vertAlign w:val="superscript"/>
        </w:rPr>
        <w:footnoteRef/>
      </w:r>
      <w:r>
        <w:rPr>
          <w:sz w:val="20"/>
          <w:szCs w:val="20"/>
        </w:rPr>
        <w:t xml:space="preserve"> Corte Interamericana de Derechos Humanos (2014) </w:t>
      </w:r>
      <w:r>
        <w:rPr>
          <w:i/>
          <w:sz w:val="20"/>
          <w:szCs w:val="20"/>
        </w:rPr>
        <w:t xml:space="preserve">Opinión Consultiva 21/14. </w:t>
      </w:r>
      <w:r>
        <w:rPr>
          <w:sz w:val="20"/>
          <w:szCs w:val="20"/>
        </w:rPr>
        <w:t>Recuperado de https://www.acnur.org/5b6ca2644.pdf</w:t>
      </w:r>
    </w:p>
  </w:footnote>
  <w:footnote w:id="6">
    <w:p w:rsidR="00FC4881" w:rsidRDefault="00B751EA">
      <w:pPr>
        <w:pStyle w:val="normal0"/>
        <w:spacing w:line="240" w:lineRule="auto"/>
        <w:rPr>
          <w:sz w:val="20"/>
          <w:szCs w:val="20"/>
        </w:rPr>
      </w:pPr>
      <w:r>
        <w:rPr>
          <w:vertAlign w:val="superscript"/>
        </w:rPr>
        <w:footnoteRef/>
      </w:r>
      <w:r>
        <w:rPr>
          <w:sz w:val="20"/>
          <w:szCs w:val="20"/>
        </w:rPr>
        <w:t xml:space="preserve"> Código del Proceso Penal (2017) Recuperado de https://www.impo.com.uy/bases/codigo-proceso-penal-2017/19293-2014</w:t>
      </w:r>
    </w:p>
  </w:footnote>
  <w:footnote w:id="7">
    <w:p w:rsidR="00FC4881" w:rsidRDefault="00B751EA">
      <w:pPr>
        <w:pStyle w:val="normal0"/>
        <w:spacing w:line="240" w:lineRule="auto"/>
        <w:rPr>
          <w:sz w:val="20"/>
          <w:szCs w:val="20"/>
        </w:rPr>
      </w:pPr>
      <w:r>
        <w:rPr>
          <w:vertAlign w:val="superscript"/>
        </w:rPr>
        <w:footnoteRef/>
      </w:r>
      <w:r>
        <w:rPr>
          <w:sz w:val="20"/>
          <w:szCs w:val="20"/>
        </w:rPr>
        <w:t>Comisionado Parlamentario (2021</w:t>
      </w:r>
      <w:proofErr w:type="gramStart"/>
      <w:r>
        <w:rPr>
          <w:sz w:val="20"/>
          <w:szCs w:val="20"/>
        </w:rPr>
        <w:t>)</w:t>
      </w:r>
      <w:r>
        <w:rPr>
          <w:i/>
          <w:sz w:val="20"/>
          <w:szCs w:val="20"/>
        </w:rPr>
        <w:t>Informe</w:t>
      </w:r>
      <w:proofErr w:type="gramEnd"/>
      <w:r>
        <w:rPr>
          <w:i/>
          <w:sz w:val="20"/>
          <w:szCs w:val="20"/>
        </w:rPr>
        <w:t xml:space="preserve"> especial: prisión domiciliaria asistida para madres con hijos a su cargo en el proceso penal.</w:t>
      </w:r>
      <w:r>
        <w:rPr>
          <w:sz w:val="20"/>
          <w:szCs w:val="20"/>
        </w:rPr>
        <w:t xml:space="preserve">  Recuperado de https://parlamento.gub.uy/sites/default/files/DocumentosCPP/informe_especial_sobre_la_pertinencia_de_la_prision_domiciliaria_asistida_para_madres_con_hijos.pdf</w:t>
      </w:r>
    </w:p>
  </w:footnote>
  <w:footnote w:id="8">
    <w:p w:rsidR="00FC4881" w:rsidRDefault="00B751EA">
      <w:pPr>
        <w:pStyle w:val="normal0"/>
        <w:spacing w:line="240" w:lineRule="auto"/>
        <w:rPr>
          <w:sz w:val="20"/>
          <w:szCs w:val="20"/>
        </w:rPr>
      </w:pPr>
      <w:r>
        <w:rPr>
          <w:vertAlign w:val="superscript"/>
        </w:rPr>
        <w:footnoteRef/>
      </w:r>
      <w:r>
        <w:rPr>
          <w:sz w:val="20"/>
          <w:szCs w:val="20"/>
        </w:rPr>
        <w:t xml:space="preserve"> Naciones Unidas (2010). </w:t>
      </w:r>
      <w:r>
        <w:rPr>
          <w:i/>
          <w:sz w:val="20"/>
          <w:szCs w:val="20"/>
        </w:rPr>
        <w:t xml:space="preserve">Directrices sobre las modalidades alternativas de cuidado de los niños. </w:t>
      </w:r>
      <w:r>
        <w:rPr>
          <w:sz w:val="20"/>
          <w:szCs w:val="20"/>
        </w:rPr>
        <w:t>Recuperado de https://www.ohchr.org</w:t>
      </w:r>
    </w:p>
  </w:footnote>
  <w:footnote w:id="9">
    <w:p w:rsidR="00FC4881" w:rsidRDefault="00B751EA">
      <w:pPr>
        <w:pStyle w:val="normal0"/>
        <w:spacing w:line="240" w:lineRule="auto"/>
        <w:rPr>
          <w:sz w:val="20"/>
          <w:szCs w:val="20"/>
        </w:rPr>
      </w:pPr>
      <w:r>
        <w:rPr>
          <w:vertAlign w:val="superscript"/>
        </w:rPr>
        <w:footnoteRef/>
      </w:r>
      <w:r>
        <w:rPr>
          <w:sz w:val="20"/>
          <w:szCs w:val="20"/>
        </w:rPr>
        <w:t xml:space="preserve"> Comité de los Derechos del Niño (2003) </w:t>
      </w:r>
      <w:r>
        <w:rPr>
          <w:i/>
          <w:sz w:val="20"/>
          <w:szCs w:val="20"/>
        </w:rPr>
        <w:t xml:space="preserve">Observación </w:t>
      </w:r>
      <w:proofErr w:type="spellStart"/>
      <w:r>
        <w:rPr>
          <w:i/>
          <w:sz w:val="20"/>
          <w:szCs w:val="20"/>
        </w:rPr>
        <w:t>Genral</w:t>
      </w:r>
      <w:proofErr w:type="spellEnd"/>
      <w:r>
        <w:rPr>
          <w:i/>
          <w:sz w:val="20"/>
          <w:szCs w:val="20"/>
        </w:rPr>
        <w:t xml:space="preserve"> Nª 5. </w:t>
      </w:r>
      <w:r>
        <w:rPr>
          <w:sz w:val="20"/>
          <w:szCs w:val="20"/>
        </w:rPr>
        <w:t>Recuperado de https://plataformadeinfancia.org/derechos-de-infancia/observaciones-generales-comite-derechos-del-nino/</w:t>
      </w:r>
    </w:p>
  </w:footnote>
  <w:footnote w:id="10">
    <w:p w:rsidR="00FC4881" w:rsidRDefault="00B751EA">
      <w:pPr>
        <w:pStyle w:val="normal0"/>
        <w:spacing w:line="240" w:lineRule="auto"/>
        <w:rPr>
          <w:sz w:val="20"/>
          <w:szCs w:val="20"/>
        </w:rPr>
      </w:pPr>
      <w:r>
        <w:rPr>
          <w:vertAlign w:val="superscript"/>
        </w:rPr>
        <w:footnoteRef/>
      </w:r>
      <w:r>
        <w:rPr>
          <w:sz w:val="20"/>
          <w:szCs w:val="20"/>
        </w:rPr>
        <w:t xml:space="preserve"> Código de la Niñez y la Adolescencia (2004) Recuperado de https://www.impo.com.uy/bases/codigo-ninez-adolescencia/17823-2004</w:t>
      </w:r>
    </w:p>
  </w:footnote>
  <w:footnote w:id="11">
    <w:p w:rsidR="00FC4881" w:rsidRDefault="00B751EA">
      <w:pPr>
        <w:pStyle w:val="normal0"/>
        <w:spacing w:line="240" w:lineRule="auto"/>
        <w:rPr>
          <w:sz w:val="20"/>
          <w:szCs w:val="20"/>
        </w:rPr>
      </w:pPr>
      <w:r>
        <w:rPr>
          <w:vertAlign w:val="superscript"/>
        </w:rPr>
        <w:footnoteRef/>
      </w:r>
      <w:r>
        <w:rPr>
          <w:sz w:val="20"/>
          <w:szCs w:val="20"/>
        </w:rPr>
        <w:t xml:space="preserve"> Código de la Niñez y la Adolescencia (2004) Recuperado de https://www.impo.com.uy/bases/codigo-ninez-adolescencia/17823-2004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3C05"/>
    <w:multiLevelType w:val="multilevel"/>
    <w:tmpl w:val="766C8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2815C9"/>
    <w:multiLevelType w:val="multilevel"/>
    <w:tmpl w:val="81B2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C4881"/>
    <w:rsid w:val="003D6E24"/>
    <w:rsid w:val="005C47AF"/>
    <w:rsid w:val="00746260"/>
    <w:rsid w:val="00B751EA"/>
    <w:rsid w:val="00FC488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AF"/>
  </w:style>
  <w:style w:type="paragraph" w:styleId="Ttulo1">
    <w:name w:val="heading 1"/>
    <w:basedOn w:val="normal0"/>
    <w:next w:val="normal0"/>
    <w:rsid w:val="00FC4881"/>
    <w:pPr>
      <w:keepNext/>
      <w:keepLines/>
      <w:spacing w:before="400" w:after="120"/>
      <w:outlineLvl w:val="0"/>
    </w:pPr>
    <w:rPr>
      <w:sz w:val="40"/>
      <w:szCs w:val="40"/>
    </w:rPr>
  </w:style>
  <w:style w:type="paragraph" w:styleId="Ttulo2">
    <w:name w:val="heading 2"/>
    <w:basedOn w:val="normal0"/>
    <w:next w:val="normal0"/>
    <w:rsid w:val="00FC4881"/>
    <w:pPr>
      <w:keepNext/>
      <w:keepLines/>
      <w:spacing w:before="360" w:after="120"/>
      <w:outlineLvl w:val="1"/>
    </w:pPr>
    <w:rPr>
      <w:sz w:val="32"/>
      <w:szCs w:val="32"/>
    </w:rPr>
  </w:style>
  <w:style w:type="paragraph" w:styleId="Ttulo3">
    <w:name w:val="heading 3"/>
    <w:basedOn w:val="normal0"/>
    <w:next w:val="normal0"/>
    <w:rsid w:val="00FC4881"/>
    <w:pPr>
      <w:keepNext/>
      <w:keepLines/>
      <w:spacing w:before="320" w:after="80"/>
      <w:outlineLvl w:val="2"/>
    </w:pPr>
    <w:rPr>
      <w:color w:val="434343"/>
      <w:sz w:val="28"/>
      <w:szCs w:val="28"/>
    </w:rPr>
  </w:style>
  <w:style w:type="paragraph" w:styleId="Ttulo4">
    <w:name w:val="heading 4"/>
    <w:basedOn w:val="normal0"/>
    <w:next w:val="normal0"/>
    <w:rsid w:val="00FC4881"/>
    <w:pPr>
      <w:keepNext/>
      <w:keepLines/>
      <w:spacing w:before="280" w:after="80"/>
      <w:outlineLvl w:val="3"/>
    </w:pPr>
    <w:rPr>
      <w:color w:val="666666"/>
      <w:sz w:val="24"/>
      <w:szCs w:val="24"/>
    </w:rPr>
  </w:style>
  <w:style w:type="paragraph" w:styleId="Ttulo5">
    <w:name w:val="heading 5"/>
    <w:basedOn w:val="normal0"/>
    <w:next w:val="normal0"/>
    <w:rsid w:val="00FC4881"/>
    <w:pPr>
      <w:keepNext/>
      <w:keepLines/>
      <w:spacing w:before="240" w:after="80"/>
      <w:outlineLvl w:val="4"/>
    </w:pPr>
    <w:rPr>
      <w:color w:val="666666"/>
    </w:rPr>
  </w:style>
  <w:style w:type="paragraph" w:styleId="Ttulo6">
    <w:name w:val="heading 6"/>
    <w:basedOn w:val="normal0"/>
    <w:next w:val="normal0"/>
    <w:rsid w:val="00FC488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C4881"/>
  </w:style>
  <w:style w:type="table" w:customStyle="1" w:styleId="TableNormal">
    <w:name w:val="Table Normal"/>
    <w:rsid w:val="00FC4881"/>
    <w:tblPr>
      <w:tblCellMar>
        <w:top w:w="0" w:type="dxa"/>
        <w:left w:w="0" w:type="dxa"/>
        <w:bottom w:w="0" w:type="dxa"/>
        <w:right w:w="0" w:type="dxa"/>
      </w:tblCellMar>
    </w:tblPr>
  </w:style>
  <w:style w:type="paragraph" w:styleId="Ttulo">
    <w:name w:val="Title"/>
    <w:basedOn w:val="normal0"/>
    <w:next w:val="normal0"/>
    <w:rsid w:val="00FC4881"/>
    <w:pPr>
      <w:keepNext/>
      <w:keepLines/>
      <w:spacing w:after="60"/>
    </w:pPr>
    <w:rPr>
      <w:sz w:val="52"/>
      <w:szCs w:val="52"/>
    </w:rPr>
  </w:style>
  <w:style w:type="paragraph" w:styleId="Subttulo">
    <w:name w:val="Subtitle"/>
    <w:basedOn w:val="normal0"/>
    <w:next w:val="normal0"/>
    <w:rsid w:val="00FC488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3057</Words>
  <Characters>16817</Characters>
  <Application>Microsoft Office Word</Application>
  <DocSecurity>0</DocSecurity>
  <Lines>140</Lines>
  <Paragraphs>39</Paragraphs>
  <ScaleCrop>false</ScaleCrop>
  <Company/>
  <LinksUpToDate>false</LinksUpToDate>
  <CharactersWithSpaces>19835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GurisesUnidos</cp:lastModifiedBy>
  <cp:revision>4</cp:revision>
  <dcterms:created xsi:type="dcterms:W3CDTF">2021-12-10T00:51:00Z</dcterms:created>
  <dcterms:modified xsi:type="dcterms:W3CDTF">2021-12-10T01:09:00Z</dcterms:modified>
</cp:coreProperties>
</file>